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方正小标宋简体" w:hAnsi="仿宋GB2312" w:eastAsia="方正小标宋简体" w:cs="仿宋GB2312"/>
          <w:bCs/>
          <w:sz w:val="44"/>
          <w:szCs w:val="44"/>
        </w:rPr>
      </w:pPr>
      <w:bookmarkStart w:id="2" w:name="_GoBack"/>
      <w:bookmarkEnd w:id="2"/>
      <w:r>
        <w:rPr>
          <w:rFonts w:hint="eastAsia" w:ascii="方正小标宋简体" w:hAnsi="仿宋GB2312" w:eastAsia="方正小标宋简体" w:cs="仿宋GB2312"/>
          <w:bCs/>
          <w:sz w:val="44"/>
          <w:szCs w:val="44"/>
        </w:rPr>
        <w:t>2024年1月扬州市邗江区教育系统</w:t>
      </w:r>
    </w:p>
    <w:p>
      <w:pPr>
        <w:tabs>
          <w:tab w:val="left" w:pos="9030"/>
        </w:tabs>
        <w:spacing w:line="700" w:lineRule="exact"/>
        <w:jc w:val="center"/>
        <w:rPr>
          <w:rFonts w:hint="eastAsia" w:ascii="方正小标宋简体" w:hAnsi="仿宋GB2312" w:eastAsia="方正小标宋简体" w:cs="仿宋GB2312"/>
          <w:bCs/>
          <w:sz w:val="44"/>
          <w:szCs w:val="44"/>
        </w:rPr>
      </w:pPr>
      <w:r>
        <w:rPr>
          <w:rFonts w:hint="eastAsia" w:ascii="方正小标宋简体" w:hAnsi="仿宋GB2312" w:eastAsia="方正小标宋简体" w:cs="仿宋GB2312"/>
          <w:bCs/>
          <w:sz w:val="44"/>
          <w:szCs w:val="44"/>
        </w:rPr>
        <w:t>事业单位公开招聘教师报考指南</w:t>
      </w:r>
    </w:p>
    <w:p>
      <w:pPr>
        <w:tabs>
          <w:tab w:val="left" w:pos="9030"/>
        </w:tabs>
        <w:spacing w:line="700" w:lineRule="exact"/>
        <w:jc w:val="center"/>
        <w:rPr>
          <w:rFonts w:ascii="仿宋GB2312" w:hAnsi="仿宋GB2312" w:eastAsia="仿宋GB2312" w:cs="仿宋GB2312"/>
          <w:sz w:val="32"/>
          <w:szCs w:val="32"/>
        </w:rPr>
      </w:pPr>
    </w:p>
    <w:p>
      <w:pPr>
        <w:tabs>
          <w:tab w:val="left" w:pos="9030"/>
        </w:tabs>
        <w:spacing w:line="560" w:lineRule="exact"/>
        <w:ind w:firstLine="640" w:firstLineChars="200"/>
        <w:jc w:val="left"/>
        <w:rPr>
          <w:rFonts w:ascii="仿宋" w:hAnsi="仿宋" w:eastAsia="仿宋" w:cs="仿宋GB2312"/>
          <w:sz w:val="32"/>
          <w:szCs w:val="32"/>
        </w:rPr>
      </w:pPr>
      <w:r>
        <w:rPr>
          <w:rFonts w:hint="eastAsia" w:ascii="仿宋" w:hAnsi="仿宋" w:eastAsia="仿宋" w:cs="仿宋GB2312"/>
          <w:sz w:val="32"/>
          <w:szCs w:val="32"/>
        </w:rPr>
        <w:t>根据《</w:t>
      </w:r>
      <w:r>
        <w:rPr>
          <w:rStyle w:val="13"/>
          <w:rFonts w:hint="eastAsia" w:ascii="仿宋" w:hAnsi="仿宋" w:eastAsia="仿宋" w:cs="仿宋GB2312"/>
          <w:b w:val="0"/>
          <w:sz w:val="32"/>
          <w:szCs w:val="32"/>
        </w:rPr>
        <w:t>江苏省事业单位公开招聘人员办法》《2024年1月扬州市邗江区教育系统事业单位公开招聘教师公告》，现就2024年1月扬州市邗江区教育系统事业单位公开招聘教师</w:t>
      </w:r>
      <w:r>
        <w:rPr>
          <w:rFonts w:hint="eastAsia" w:ascii="仿宋" w:hAnsi="仿宋" w:eastAsia="仿宋" w:cs="仿宋GB2312"/>
          <w:sz w:val="32"/>
          <w:szCs w:val="32"/>
        </w:rPr>
        <w:t>有关事项解答如下：</w:t>
      </w:r>
    </w:p>
    <w:p>
      <w:pPr>
        <w:pStyle w:val="9"/>
        <w:spacing w:line="560" w:lineRule="exact"/>
        <w:ind w:firstLine="643"/>
        <w:rPr>
          <w:rFonts w:ascii="仿宋" w:hAnsi="仿宋" w:eastAsia="仿宋" w:cs="仿宋GB2312"/>
          <w:szCs w:val="32"/>
        </w:rPr>
      </w:pPr>
      <w:r>
        <w:rPr>
          <w:rFonts w:hint="eastAsia" w:ascii="仿宋" w:hAnsi="仿宋" w:eastAsia="仿宋" w:cs="仿宋GB2312"/>
          <w:szCs w:val="32"/>
        </w:rPr>
        <w:t>一、关于年龄等报考资格条件时限及其计算方式</w:t>
      </w:r>
    </w:p>
    <w:p>
      <w:pPr>
        <w:widowControl/>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（一）年龄计算</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以报名日期计算。18周岁以上、35周岁以下，即1988年1月3</w:t>
      </w:r>
      <w:r>
        <w:rPr>
          <w:rFonts w:hint="eastAsia" w:ascii="仿宋" w:hAnsi="仿宋" w:eastAsia="仿宋" w:cs="仿宋GB2312"/>
          <w:sz w:val="32"/>
          <w:szCs w:val="32"/>
          <w:lang w:val="en-US" w:eastAsia="zh-CN"/>
        </w:rPr>
        <w:t>0</w:t>
      </w:r>
      <w:r>
        <w:rPr>
          <w:rFonts w:hint="eastAsia" w:ascii="仿宋" w:hAnsi="仿宋" w:eastAsia="仿宋" w:cs="仿宋GB2312"/>
          <w:sz w:val="32"/>
          <w:szCs w:val="32"/>
        </w:rPr>
        <w:t>日至2006年2月3日期间出生。</w:t>
      </w:r>
      <w:r>
        <w:rPr>
          <w:rFonts w:hint="eastAsia" w:ascii="仿宋" w:hAnsi="仿宋" w:eastAsia="仿宋"/>
          <w:sz w:val="32"/>
          <w:szCs w:val="32"/>
        </w:rPr>
        <w:t>其他年龄计算，参照此方法进行。</w:t>
      </w:r>
    </w:p>
    <w:p>
      <w:pPr>
        <w:snapToGrid w:val="0"/>
        <w:spacing w:line="560" w:lineRule="exact"/>
        <w:ind w:firstLine="643" w:firstLineChars="200"/>
        <w:rPr>
          <w:rFonts w:ascii="仿宋" w:hAnsi="仿宋" w:eastAsia="仿宋" w:cs="仿宋GB2312"/>
          <w:b/>
          <w:sz w:val="32"/>
          <w:szCs w:val="32"/>
        </w:rPr>
      </w:pPr>
      <w:r>
        <w:rPr>
          <w:rFonts w:hint="eastAsia" w:ascii="仿宋" w:hAnsi="仿宋" w:eastAsia="仿宋" w:cs="仿宋GB2312"/>
          <w:b/>
          <w:sz w:val="32"/>
          <w:szCs w:val="32"/>
        </w:rPr>
        <w:t>（二）其他资格条件的截止时间</w:t>
      </w:r>
    </w:p>
    <w:p>
      <w:pPr>
        <w:spacing w:line="560" w:lineRule="exact"/>
        <w:ind w:right="-70" w:firstLine="640" w:firstLineChars="200"/>
        <w:rPr>
          <w:rFonts w:ascii="仿宋" w:hAnsi="仿宋" w:eastAsia="仿宋" w:cs="仿宋GB2312"/>
          <w:sz w:val="32"/>
          <w:szCs w:val="32"/>
        </w:rPr>
      </w:pPr>
      <w:r>
        <w:rPr>
          <w:rFonts w:hint="eastAsia" w:ascii="仿宋" w:hAnsi="仿宋" w:eastAsia="仿宋" w:cs="仿宋GB2312"/>
          <w:sz w:val="32"/>
          <w:szCs w:val="32"/>
        </w:rPr>
        <w:t>2024年毕业生中，能够提供《毕业生就业推荐表》（原件）的普通高校毕业生毕业证书（学位证书）、相应教师资格证书取得时间；国（境）外同期毕业人员学位证书、教育部门学历认证材料、相应教师资格证书取得时间，为2024年8月31日及以前。</w:t>
      </w:r>
    </w:p>
    <w:p>
      <w:pPr>
        <w:spacing w:line="560" w:lineRule="exact"/>
        <w:ind w:right="-70" w:firstLine="640" w:firstLineChars="200"/>
        <w:rPr>
          <w:rFonts w:ascii="仿宋" w:hAnsi="仿宋" w:eastAsia="仿宋" w:cs="仿宋GB2312"/>
          <w:sz w:val="32"/>
          <w:szCs w:val="32"/>
        </w:rPr>
      </w:pPr>
      <w:r>
        <w:rPr>
          <w:rFonts w:hint="eastAsia" w:ascii="仿宋" w:hAnsi="仿宋" w:eastAsia="仿宋" w:cs="仿宋GB2312"/>
          <w:sz w:val="32"/>
          <w:szCs w:val="32"/>
        </w:rPr>
        <w:t>已取得《中小学教师资格考试合格证明》（在中国教育考试网上打印，网址为：http://ntce.neea,edu.cn）的应聘人员，相应教师资格证书取得时间，可放宽到2024年8月31日及以前。</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在招聘结果备案前，普通高校2024年毕业生须提供毕业学历（学位）证书、相应教师资格证书原件及复印件，国（境）外同期毕业人员须提供学位证书、教育部门学历认证材料、相应教师资格证书原件及复印件。</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除上述情形外，招聘公告及岗位规定的报考资格条件，应聘人员需在2024年2月3日及以前具备。</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二、关于学历、学位等事项</w:t>
      </w:r>
    </w:p>
    <w:p>
      <w:pPr>
        <w:spacing w:line="560" w:lineRule="exact"/>
        <w:ind w:right="-70" w:firstLine="640" w:firstLineChars="200"/>
        <w:rPr>
          <w:rFonts w:ascii="仿宋" w:hAnsi="仿宋" w:eastAsia="仿宋" w:cs="仿宋GB2312"/>
          <w:sz w:val="32"/>
          <w:szCs w:val="32"/>
        </w:rPr>
      </w:pPr>
      <w:r>
        <w:rPr>
          <w:rFonts w:hint="eastAsia" w:ascii="仿宋" w:hAnsi="仿宋" w:eastAsia="仿宋" w:cs="仿宋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spacing w:line="560" w:lineRule="exact"/>
        <w:ind w:right="-70" w:firstLine="640" w:firstLineChars="200"/>
        <w:rPr>
          <w:rFonts w:ascii="仿宋" w:hAnsi="仿宋" w:eastAsia="仿宋" w:cs="仿宋GB2312"/>
          <w:sz w:val="32"/>
          <w:szCs w:val="32"/>
        </w:rPr>
      </w:pPr>
      <w:r>
        <w:rPr>
          <w:rFonts w:hint="eastAsia" w:ascii="仿宋" w:hAnsi="仿宋" w:eastAsia="仿宋" w:cs="仿宋GB2312"/>
          <w:sz w:val="32"/>
          <w:szCs w:val="32"/>
        </w:rPr>
        <w:t>（二）军队院校毕业生满足以下条件之一，可以应聘。</w:t>
      </w:r>
    </w:p>
    <w:p>
      <w:pPr>
        <w:spacing w:line="560" w:lineRule="exact"/>
        <w:ind w:right="-70" w:firstLine="640" w:firstLineChars="200"/>
        <w:rPr>
          <w:rFonts w:ascii="仿宋" w:hAnsi="仿宋" w:eastAsia="仿宋" w:cs="仿宋GB2312"/>
          <w:sz w:val="32"/>
          <w:szCs w:val="32"/>
        </w:rPr>
      </w:pPr>
      <w:r>
        <w:rPr>
          <w:rFonts w:hint="eastAsia" w:ascii="仿宋" w:hAnsi="仿宋" w:eastAsia="仿宋" w:cs="仿宋GB2312"/>
          <w:sz w:val="32"/>
          <w:szCs w:val="32"/>
        </w:rPr>
        <w:t>1.由国家（省）教育行政部门下达招生计划，参加全国（省）统一招生考试，按规定被军队院校录取并取得军队院校学历的人员；</w:t>
      </w:r>
    </w:p>
    <w:p>
      <w:pPr>
        <w:spacing w:line="560" w:lineRule="exact"/>
        <w:ind w:right="-70" w:firstLine="640" w:firstLineChars="200"/>
        <w:rPr>
          <w:rFonts w:ascii="仿宋" w:hAnsi="仿宋" w:eastAsia="仿宋" w:cs="仿宋GB2312"/>
          <w:sz w:val="32"/>
          <w:szCs w:val="32"/>
        </w:rPr>
      </w:pPr>
      <w:r>
        <w:rPr>
          <w:rFonts w:hint="eastAsia" w:ascii="仿宋" w:hAnsi="仿宋" w:eastAsia="仿宋" w:cs="仿宋GB2312"/>
          <w:sz w:val="32"/>
          <w:szCs w:val="32"/>
        </w:rPr>
        <w:t>2.在军队服役期间取得军队院校学历的人员；</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3.取得军队院校学历证书，并经国家教育行政主管部门学历认定并注册的（教育部学历认证网站可核验）人员。</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（三）在国（境）外取得学位的人员应聘的，除需提供招聘公告中规定的材料外，还须提供教育部留学服务中心的学历认证材料。</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此外，其他有关事项依据国家、省相关规定执行。</w:t>
      </w:r>
    </w:p>
    <w:p>
      <w:pPr>
        <w:spacing w:line="560" w:lineRule="exact"/>
        <w:ind w:firstLine="643" w:firstLineChars="200"/>
        <w:rPr>
          <w:rFonts w:ascii="仿宋" w:hAnsi="仿宋" w:eastAsia="仿宋" w:cs="仿宋GB2312"/>
          <w:b/>
          <w:bCs/>
          <w:sz w:val="32"/>
          <w:szCs w:val="32"/>
        </w:rPr>
      </w:pPr>
      <w:bookmarkStart w:id="0" w:name="OLE_LINK1"/>
      <w:bookmarkStart w:id="1" w:name="OLE_LINK2"/>
      <w:r>
        <w:rPr>
          <w:rFonts w:hint="eastAsia" w:ascii="仿宋" w:hAnsi="仿宋" w:eastAsia="仿宋" w:cs="仿宋GB2312"/>
          <w:b/>
          <w:bCs/>
          <w:sz w:val="32"/>
          <w:szCs w:val="32"/>
        </w:rPr>
        <w:t>三、关于招聘条件中要求“2024年毕业生”的岗位报考对象</w:t>
      </w:r>
    </w:p>
    <w:bookmarkEnd w:id="0"/>
    <w:bookmarkEnd w:id="1"/>
    <w:p>
      <w:pPr>
        <w:widowControl/>
        <w:spacing w:line="560" w:lineRule="exact"/>
        <w:ind w:firstLine="640" w:firstLineChars="200"/>
        <w:rPr>
          <w:rFonts w:eastAsia="方正仿宋_GBK"/>
          <w:sz w:val="32"/>
          <w:szCs w:val="32"/>
        </w:rPr>
      </w:pPr>
      <w:r>
        <w:rPr>
          <w:rFonts w:hint="eastAsia" w:ascii="仿宋" w:hAnsi="仿宋" w:eastAsia="仿宋" w:cs="仿宋GB2312"/>
          <w:sz w:val="32"/>
          <w:szCs w:val="32"/>
        </w:rPr>
        <w:t>招聘条件中的“2024年毕业生”，指</w:t>
      </w:r>
      <w:r>
        <w:rPr>
          <w:rFonts w:eastAsia="方正仿宋_GBK"/>
          <w:sz w:val="32"/>
          <w:szCs w:val="32"/>
        </w:rPr>
        <w:t>在</w:t>
      </w:r>
      <w:r>
        <w:rPr>
          <w:rFonts w:hint="eastAsia" w:eastAsia="方正仿宋_GBK"/>
          <w:sz w:val="32"/>
          <w:szCs w:val="32"/>
        </w:rPr>
        <w:t>2024</w:t>
      </w:r>
      <w:r>
        <w:rPr>
          <w:rFonts w:eastAsia="方正仿宋_GBK"/>
          <w:sz w:val="32"/>
          <w:szCs w:val="32"/>
        </w:rPr>
        <w:t>年毕业</w:t>
      </w:r>
      <w:r>
        <w:rPr>
          <w:rFonts w:hint="eastAsia" w:eastAsia="方正仿宋_GBK"/>
          <w:sz w:val="32"/>
          <w:szCs w:val="32"/>
        </w:rPr>
        <w:t>并已取得学历（学位）证书，</w:t>
      </w:r>
      <w:r>
        <w:rPr>
          <w:rFonts w:eastAsia="方正仿宋_GBK"/>
          <w:sz w:val="32"/>
          <w:szCs w:val="32"/>
        </w:rPr>
        <w:t>且仍无工作单位的人员。</w:t>
      </w:r>
      <w:r>
        <w:rPr>
          <w:rFonts w:hint="eastAsia" w:ascii="仿宋GB2312" w:hAnsi="仿宋GB2312" w:eastAsia="仿宋GB2312" w:cs="仿宋GB2312"/>
          <w:sz w:val="32"/>
          <w:szCs w:val="32"/>
        </w:rPr>
        <w:t>其中，能够提供《毕业生就业推荐表》（原件）的普通高校毕业生，取得学历（学位）证书日期可放宽至2024年8月31日；国（境）外同期毕业人员，取得学历（学位）证书的日期可适当放宽，但须在2024年8月31日前完成教育部留学服务中心学历认证。</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2022年和2023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2024年毕业生的岗位。</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参加基层服务项目的人员，如参加服务项目前无工作经历，服务期满且考核合格（考核截止日期为2024年8月31日）后2年内的，可应聘面向2024年毕业生的岗位。</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以普通高校应届毕业生应征入伍服义务兵的人员，退役后1年内的，可应聘面向2024年毕业生的岗位。</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四、关于专业审核</w:t>
      </w:r>
    </w:p>
    <w:p>
      <w:pPr>
        <w:widowControl/>
        <w:spacing w:line="560" w:lineRule="exact"/>
        <w:ind w:firstLine="640" w:firstLineChars="200"/>
        <w:rPr>
          <w:rFonts w:hint="eastAsia" w:ascii="仿宋" w:hAnsi="仿宋" w:eastAsia="仿宋" w:cs="仿宋GB2312"/>
          <w:sz w:val="32"/>
          <w:szCs w:val="32"/>
        </w:rPr>
      </w:pPr>
      <w:r>
        <w:rPr>
          <w:rFonts w:hint="eastAsia" w:ascii="仿宋" w:hAnsi="仿宋" w:eastAsia="仿宋" w:cs="仿宋GB2312"/>
          <w:sz w:val="32"/>
          <w:szCs w:val="32"/>
        </w:rPr>
        <w:t>招聘岗位具体专业参照教育部高等学校专业目录设置，专业大类参照《江苏省2024年度考试录用公务员专业参考目录》。在报名阶段，如有拟应聘人员所学专业名称不在该岗位所列专业范围内，在2024年2月1日16:00之前，其所提供相应毕业学校出具的成绩单等课程设置材料，证明与拟应聘岗位所列专业非常相近的，扬州市邗江区教育局审核认定符合岗位要求并可以此专业应聘该岗位的，该专业需及时上网公布。</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五、关于回避事项</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（一）夫妻关系；</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（二）直系血亲关系，包括祖父母、外祖父母、父母、子女、孙子女、外孙子女；</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（三）三代以内旁系血亲关系，包括叔伯姑舅姨、兄弟姐妹、堂兄弟姐妹、表兄弟姐妹、侄子女、甥子女；</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（四）近姻亲关系，包括配偶的父母、配偶的兄弟姐妹及其配偶、子女的配偶及子女配偶的父母、三代以内旁系血亲的配偶；</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（五）其他亲属关系，包括养父母子女、形成抚养关系的继父母子女及由此形成的直系血亲、三代以内旁系血亲和近姻亲关系。</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上述所称同一事业单位，是指依法登记的同一事业单位法人。</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上述所称直接上下级领导关系包括：</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（一）领导班子正职与副职；</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（二）同一内设机构正职与副职；</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（三）上级正职、副职与下级正职；</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（四）单位无内设机构的，其正职、副职与其他管理人员以及从事审计、财务工作的专业技术人员；</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（五）内设机构无下一级单位的，其正职、副职与其他管理人员以及从事审计、财务工作的专业技术人员。</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六、关于资格复审</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资格复审时，报名者应提供招聘公告、岗位及报考指南等要求的相关证明材料。其中，普通高校2024年毕业生还须提供本人身份证、学生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在职人员特别是在职中小学教师报名前应征得所在单位同意，2024年毕业的定向生、委培生报名前应征得定向单位、委培单位同意，外省生源的师范类2024年毕业生报名前应征得毕业学校同意，前述同意报考的材料需及时提供，最迟必须在资格复审时提供。如在上述规定的“最迟”时限内，仍不能提交的，视为该考生自动放弃报考资格。</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七、关于居民身份证使用</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八、关于考察（政审）事项</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体检合格人员的考察工作由招聘单位和所属主管部门参照公务员招录有关考察（政审）规定组织实施。</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应聘人员有下列情形之一的，即视为考察（政审）不合格：</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（1）不具备应聘资格条件的；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（2）散布有损宪法权威、中国共产党和国家声誉的言论，组织或者参加旨在反对宪法、中国共产党领导和国家的集会、游行、示威等活动的；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（3）攻击党和政府，发布不道德或者违法言论并造成一定社会影响的；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（4）因犯罪被单处罚金，或者犯罪情节轻微，人民检察院依法作出不起诉决定或者人民法院依法免予刑事处罚的；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（5）受到诫勉、组织处理或者党纪政务处分等影响期未满或者期满影响使用的；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（6）政治品德不良，社会责任感和为人民服务意识较差，严重违反政治纪律、政治规矩和组织纪律的；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（7）组织或者参加非法组织，组织或者参加罢工的；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（8）挑拨、破坏民族关系，参加民族分裂活动或者参与非法宗教活动、与宗教极端势力相勾结，组织、利用宗教活动破坏民族团结和社会稳定的；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（9）泄露国家秘密或者工作秘密的；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（10）在对外交往中损害国家荣誉和利益的；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（11）触犯刑律被免予刑事处罚的；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（12）因犯罪受过刑事处罚的；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（13）受过劳动教养的；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（14）被开除公职、党籍、团籍的，在高等教育期间受到开除学籍处分的；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（15）不担当，不作为，玩忽职守，贻误工作的；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（16）隐瞒个人重要信息，弄虚作假，误导、欺骗组织和公众的；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（17）贪污贿赂，利用职务之便为自己或者他人谋取私利的；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（18）违反财经纪律，浪费国家或者集体资财的；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（19）滥用职权，侵害公民、法人或者其他组织合法权益的；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（20）参与或者支持色情、吸毒、赌博、迷信等活动的；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（21）违反有关规定参与禁止的网络传播行为或者网络活动的；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（22）在国家法定考试中被认定有严重舞弊行为的；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（23）被依法列为失信联合惩戒对象的；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（25）自2021年2月4日（含）以来，曾受记大过、降级、撤职、留用（留党、留校）察看等处分的；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（26）自2019年2月4日（含）以来，被党政机关、事业单位辞退的；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（27）自2021年2月4日（含）以来，担任领导职务的公务员引咎辞职或者被责令辞职的；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（28）自2021年2月4日（含）以来，事业单位工作人员因违法违规违纪被降低岗位等级或者撤职的；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（29）2023年度考核被确定为不称职（不合格）或者2022年度及2023年度考核基本称职（基本合格）的；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（30）违反职业道德、社会公德、家庭美德的；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（31）不符合新时代中小学、幼儿园教师职业行为十项准则要求的；</w:t>
      </w:r>
    </w:p>
    <w:p>
      <w:pPr>
        <w:widowControl/>
        <w:spacing w:line="560" w:lineRule="exact"/>
        <w:ind w:firstLine="640" w:firstLineChars="200"/>
        <w:rPr>
          <w:rFonts w:ascii="仿宋" w:hAnsi="仿宋" w:eastAsia="仿宋" w:cs="仿宋GB2312"/>
          <w:sz w:val="32"/>
          <w:szCs w:val="32"/>
        </w:rPr>
      </w:pPr>
      <w:r>
        <w:rPr>
          <w:rFonts w:hint="eastAsia" w:ascii="仿宋" w:hAnsi="仿宋" w:eastAsia="仿宋" w:cs="仿宋GB2312"/>
          <w:sz w:val="32"/>
          <w:szCs w:val="32"/>
        </w:rPr>
        <w:t>（32）法律法规规定其他不宜聘用的。</w:t>
      </w:r>
    </w:p>
    <w:p>
      <w:pPr>
        <w:spacing w:line="560" w:lineRule="exact"/>
        <w:ind w:firstLine="643" w:firstLineChars="200"/>
        <w:rPr>
          <w:rFonts w:ascii="仿宋" w:hAnsi="仿宋" w:eastAsia="仿宋" w:cs="仿宋GB2312"/>
          <w:b/>
          <w:bCs/>
          <w:sz w:val="32"/>
          <w:szCs w:val="32"/>
        </w:rPr>
      </w:pPr>
      <w:r>
        <w:rPr>
          <w:rFonts w:hint="eastAsia" w:ascii="仿宋" w:hAnsi="仿宋" w:eastAsia="仿宋" w:cs="仿宋GB2312"/>
          <w:b/>
          <w:bCs/>
          <w:sz w:val="32"/>
          <w:szCs w:val="32"/>
        </w:rPr>
        <w:t>九、关于考试注意事项</w:t>
      </w:r>
    </w:p>
    <w:p>
      <w:pPr>
        <w:widowControl/>
        <w:spacing w:line="560" w:lineRule="exact"/>
        <w:ind w:firstLine="640" w:firstLineChars="200"/>
        <w:rPr>
          <w:rFonts w:hint="eastAsia" w:ascii="仿宋" w:hAnsi="仿宋" w:eastAsia="仿宋" w:cs="仿宋GB2312"/>
          <w:sz w:val="32"/>
          <w:szCs w:val="32"/>
        </w:rPr>
      </w:pPr>
      <w:r>
        <w:rPr>
          <w:rFonts w:hint="eastAsia" w:ascii="仿宋" w:hAnsi="仿宋" w:eastAsia="仿宋" w:cs="仿宋GB2312"/>
          <w:sz w:val="32"/>
          <w:szCs w:val="32"/>
        </w:rPr>
        <w:t>本次考试（笔试、面试）均不指定复习教材（辅导用书），不组织、也不指定任何机构组织考前培训。考生应按照准考证上确定的具体时间和考点及有关要求参加考试。</w:t>
      </w:r>
    </w:p>
    <w:p>
      <w:pPr>
        <w:widowControl/>
        <w:spacing w:line="560" w:lineRule="exact"/>
        <w:ind w:firstLine="640" w:firstLineChars="200"/>
        <w:rPr>
          <w:rFonts w:ascii="仿宋" w:hAnsi="仿宋" w:eastAsia="仿宋" w:cs="仿宋GB2312"/>
          <w:sz w:val="32"/>
          <w:szCs w:val="32"/>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1" w:fontKey="{DC5210B2-245A-40DB-A6B8-3741678A2B75}"/>
  </w:font>
  <w:font w:name="仿宋GB2312">
    <w:altName w:val="仿宋"/>
    <w:panose1 w:val="00000000000000000000"/>
    <w:charset w:val="00"/>
    <w:family w:val="auto"/>
    <w:pitch w:val="default"/>
    <w:sig w:usb0="00000000" w:usb1="00000000" w:usb2="00000000" w:usb3="00000000" w:csb0="00000000" w:csb1="00000000"/>
    <w:embedRegular r:id="rId2" w:fontKey="{A479ED63-FEA1-45FA-A913-4F1522F89A3E}"/>
  </w:font>
  <w:font w:name="仿宋">
    <w:panose1 w:val="02010609060101010101"/>
    <w:charset w:val="86"/>
    <w:family w:val="modern"/>
    <w:pitch w:val="default"/>
    <w:sig w:usb0="800002BF" w:usb1="38CF7CFA" w:usb2="00000016" w:usb3="00000000" w:csb0="00040001" w:csb1="00000000"/>
    <w:embedRegular r:id="rId3" w:fontKey="{72B4932B-0C29-4A99-86D7-FC7408CC44A9}"/>
  </w:font>
  <w:font w:name="方正仿宋_GBK">
    <w:panose1 w:val="02000000000000000000"/>
    <w:charset w:val="86"/>
    <w:family w:val="script"/>
    <w:pitch w:val="default"/>
    <w:sig w:usb0="A00002BF" w:usb1="38CF7CFA" w:usb2="00082016" w:usb3="00000000" w:csb0="00040001" w:csb1="00000000"/>
    <w:embedRegular r:id="rId4" w:fontKey="{04734F76-4331-43FC-ACE5-9A12FB2A1A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zU2ZDBiNzA4ZGQzYmJiMWU0NWZkNWNkODBjMDcifQ=="/>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974FC"/>
    <w:rsid w:val="000A4EA5"/>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52BF"/>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D6F89"/>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69F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8C5"/>
    <w:rsid w:val="00504CCC"/>
    <w:rsid w:val="00506238"/>
    <w:rsid w:val="00510292"/>
    <w:rsid w:val="00513093"/>
    <w:rsid w:val="00513E3F"/>
    <w:rsid w:val="00515AE1"/>
    <w:rsid w:val="0052162F"/>
    <w:rsid w:val="00521E94"/>
    <w:rsid w:val="0053420B"/>
    <w:rsid w:val="00535760"/>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2F0B"/>
    <w:rsid w:val="006434AF"/>
    <w:rsid w:val="006467C2"/>
    <w:rsid w:val="006471DB"/>
    <w:rsid w:val="0065667F"/>
    <w:rsid w:val="00656EE0"/>
    <w:rsid w:val="00666A59"/>
    <w:rsid w:val="0067633D"/>
    <w:rsid w:val="00680E42"/>
    <w:rsid w:val="00695250"/>
    <w:rsid w:val="00695A3A"/>
    <w:rsid w:val="0069766D"/>
    <w:rsid w:val="006A0AA4"/>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B1626"/>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048"/>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066E"/>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8398A"/>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33A3E"/>
    <w:rsid w:val="00E47096"/>
    <w:rsid w:val="00E53E9A"/>
    <w:rsid w:val="00E56A25"/>
    <w:rsid w:val="00E61DB3"/>
    <w:rsid w:val="00E62B11"/>
    <w:rsid w:val="00E65A11"/>
    <w:rsid w:val="00E70F07"/>
    <w:rsid w:val="00E72038"/>
    <w:rsid w:val="00E730E2"/>
    <w:rsid w:val="00E74F9C"/>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7754928"/>
    <w:rsid w:val="08E22377"/>
    <w:rsid w:val="096F6C38"/>
    <w:rsid w:val="09843149"/>
    <w:rsid w:val="09C67530"/>
    <w:rsid w:val="09EA7F3B"/>
    <w:rsid w:val="0A005EB1"/>
    <w:rsid w:val="0A07135E"/>
    <w:rsid w:val="0A5F5C00"/>
    <w:rsid w:val="0B0B61E5"/>
    <w:rsid w:val="0B5409AA"/>
    <w:rsid w:val="0BBF7C01"/>
    <w:rsid w:val="0CC52C78"/>
    <w:rsid w:val="0DC12675"/>
    <w:rsid w:val="0DE53BE5"/>
    <w:rsid w:val="0E8026DA"/>
    <w:rsid w:val="0EDB60EC"/>
    <w:rsid w:val="0F055ADD"/>
    <w:rsid w:val="1091774C"/>
    <w:rsid w:val="10FC460F"/>
    <w:rsid w:val="1168191A"/>
    <w:rsid w:val="11B6093B"/>
    <w:rsid w:val="1211224D"/>
    <w:rsid w:val="13985EE8"/>
    <w:rsid w:val="14B336F7"/>
    <w:rsid w:val="15837CF5"/>
    <w:rsid w:val="187745C5"/>
    <w:rsid w:val="19544A1D"/>
    <w:rsid w:val="19E9503F"/>
    <w:rsid w:val="1B1D639C"/>
    <w:rsid w:val="1BE325BA"/>
    <w:rsid w:val="1E232B99"/>
    <w:rsid w:val="1EC80567"/>
    <w:rsid w:val="1F8B432E"/>
    <w:rsid w:val="20015722"/>
    <w:rsid w:val="20433871"/>
    <w:rsid w:val="20961767"/>
    <w:rsid w:val="20CD59A4"/>
    <w:rsid w:val="21CF661A"/>
    <w:rsid w:val="221775BC"/>
    <w:rsid w:val="23C675A2"/>
    <w:rsid w:val="24700DB0"/>
    <w:rsid w:val="26626887"/>
    <w:rsid w:val="26D43BB6"/>
    <w:rsid w:val="2A014A33"/>
    <w:rsid w:val="2A1A48EA"/>
    <w:rsid w:val="2C9A4885"/>
    <w:rsid w:val="2D382511"/>
    <w:rsid w:val="2D6230D5"/>
    <w:rsid w:val="2D8B1B0D"/>
    <w:rsid w:val="2E4F2F26"/>
    <w:rsid w:val="31244B35"/>
    <w:rsid w:val="3162641C"/>
    <w:rsid w:val="31DD4224"/>
    <w:rsid w:val="32961641"/>
    <w:rsid w:val="33335613"/>
    <w:rsid w:val="336028CA"/>
    <w:rsid w:val="33D95C5A"/>
    <w:rsid w:val="349575E3"/>
    <w:rsid w:val="35190D6A"/>
    <w:rsid w:val="352B43CA"/>
    <w:rsid w:val="3637471A"/>
    <w:rsid w:val="3643379F"/>
    <w:rsid w:val="38EE3987"/>
    <w:rsid w:val="38F42E40"/>
    <w:rsid w:val="390C281A"/>
    <w:rsid w:val="3AE122D5"/>
    <w:rsid w:val="3AE42316"/>
    <w:rsid w:val="3BEA322C"/>
    <w:rsid w:val="3C7E444A"/>
    <w:rsid w:val="3D4E71D1"/>
    <w:rsid w:val="3EAC1BE4"/>
    <w:rsid w:val="3ED27252"/>
    <w:rsid w:val="3FF0690A"/>
    <w:rsid w:val="40A74D51"/>
    <w:rsid w:val="412039B7"/>
    <w:rsid w:val="41A639EA"/>
    <w:rsid w:val="41D175E3"/>
    <w:rsid w:val="41E4321D"/>
    <w:rsid w:val="42760C45"/>
    <w:rsid w:val="432C11F7"/>
    <w:rsid w:val="44467B0B"/>
    <w:rsid w:val="45B31EE2"/>
    <w:rsid w:val="462D4351"/>
    <w:rsid w:val="46F84F59"/>
    <w:rsid w:val="47033D09"/>
    <w:rsid w:val="488E4CEC"/>
    <w:rsid w:val="48B76D1C"/>
    <w:rsid w:val="492C4C36"/>
    <w:rsid w:val="49573599"/>
    <w:rsid w:val="49E10AA1"/>
    <w:rsid w:val="4A365273"/>
    <w:rsid w:val="4AD54A8E"/>
    <w:rsid w:val="4AE8684A"/>
    <w:rsid w:val="4B14120E"/>
    <w:rsid w:val="4D2131CA"/>
    <w:rsid w:val="4D68134E"/>
    <w:rsid w:val="4FB97E7C"/>
    <w:rsid w:val="516036CD"/>
    <w:rsid w:val="51B7370F"/>
    <w:rsid w:val="52B36CFB"/>
    <w:rsid w:val="52DC6BD6"/>
    <w:rsid w:val="53220A8C"/>
    <w:rsid w:val="54F53643"/>
    <w:rsid w:val="55760E70"/>
    <w:rsid w:val="559D1A31"/>
    <w:rsid w:val="55D7659F"/>
    <w:rsid w:val="58F60EA0"/>
    <w:rsid w:val="59370F7A"/>
    <w:rsid w:val="597B4F95"/>
    <w:rsid w:val="59A019B8"/>
    <w:rsid w:val="5B565F6B"/>
    <w:rsid w:val="5EE03463"/>
    <w:rsid w:val="60162834"/>
    <w:rsid w:val="6046024A"/>
    <w:rsid w:val="606E6B8A"/>
    <w:rsid w:val="6115749F"/>
    <w:rsid w:val="61666A75"/>
    <w:rsid w:val="625F3FC8"/>
    <w:rsid w:val="62A3326C"/>
    <w:rsid w:val="63195ABC"/>
    <w:rsid w:val="63344B5D"/>
    <w:rsid w:val="644F638F"/>
    <w:rsid w:val="672645F5"/>
    <w:rsid w:val="67462423"/>
    <w:rsid w:val="67B32B09"/>
    <w:rsid w:val="68A55596"/>
    <w:rsid w:val="697111C7"/>
    <w:rsid w:val="6A1E7F06"/>
    <w:rsid w:val="6B317600"/>
    <w:rsid w:val="6BA40E6E"/>
    <w:rsid w:val="6C3E20FD"/>
    <w:rsid w:val="6D336F19"/>
    <w:rsid w:val="6DA73530"/>
    <w:rsid w:val="6E7B0063"/>
    <w:rsid w:val="702F4391"/>
    <w:rsid w:val="705B62AA"/>
    <w:rsid w:val="70952C32"/>
    <w:rsid w:val="7095672B"/>
    <w:rsid w:val="70E86FE4"/>
    <w:rsid w:val="70F37CDF"/>
    <w:rsid w:val="725C0F6F"/>
    <w:rsid w:val="758C3DCE"/>
    <w:rsid w:val="759643ED"/>
    <w:rsid w:val="75FC2755"/>
    <w:rsid w:val="76E1798A"/>
    <w:rsid w:val="784E313B"/>
    <w:rsid w:val="787761E7"/>
    <w:rsid w:val="79766B8D"/>
    <w:rsid w:val="7A4A4F67"/>
    <w:rsid w:val="7A6178F5"/>
    <w:rsid w:val="7B2F0BD2"/>
    <w:rsid w:val="7D7B507A"/>
    <w:rsid w:val="7E6F1741"/>
    <w:rsid w:val="7EFB32BA"/>
    <w:rsid w:val="7F31589D"/>
    <w:rsid w:val="7F4330A4"/>
    <w:rsid w:val="7F4461C4"/>
    <w:rsid w:val="7F7359E0"/>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qFormat/>
    <w:uiPriority w:val="0"/>
    <w:rPr>
      <w:rFonts w:ascii="宋体"/>
      <w:sz w:val="18"/>
      <w:szCs w:val="18"/>
    </w:rPr>
  </w:style>
  <w:style w:type="paragraph" w:styleId="3">
    <w:name w:val="Body Text Indent"/>
    <w:basedOn w:val="1"/>
    <w:link w:val="17"/>
    <w:autoRedefine/>
    <w:qFormat/>
    <w:uiPriority w:val="0"/>
    <w:pPr>
      <w:ind w:firstLine="420"/>
    </w:pPr>
    <w:rPr>
      <w:rFonts w:ascii="宋体"/>
      <w:szCs w:val="20"/>
    </w:rPr>
  </w:style>
  <w:style w:type="paragraph" w:styleId="4">
    <w:name w:val="Plain Text"/>
    <w:basedOn w:val="1"/>
    <w:link w:val="18"/>
    <w:autoRedefine/>
    <w:qFormat/>
    <w:uiPriority w:val="0"/>
    <w:rPr>
      <w:rFonts w:ascii="宋体" w:hAnsi="Courier New"/>
      <w:szCs w:val="21"/>
    </w:r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ind w:firstLine="641" w:firstLineChars="200"/>
    </w:pPr>
    <w:rPr>
      <w:rFonts w:ascii="仿宋_GB2312" w:eastAsia="仿宋_GB2312"/>
      <w:b/>
      <w:bCs/>
      <w:sz w:val="32"/>
      <w:szCs w:val="20"/>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autoRedefine/>
    <w:qFormat/>
    <w:uiPriority w:val="0"/>
    <w:rPr>
      <w:b/>
      <w:bCs/>
    </w:rPr>
  </w:style>
  <w:style w:type="character" w:styleId="14">
    <w:name w:val="page number"/>
    <w:autoRedefine/>
    <w:qFormat/>
    <w:uiPriority w:val="0"/>
  </w:style>
  <w:style w:type="character" w:styleId="15">
    <w:name w:val="Hyperlink"/>
    <w:autoRedefine/>
    <w:unhideWhenUsed/>
    <w:qFormat/>
    <w:uiPriority w:val="99"/>
    <w:rPr>
      <w:color w:val="0000FF"/>
      <w:u w:val="single"/>
    </w:rPr>
  </w:style>
  <w:style w:type="character" w:customStyle="1" w:styleId="16">
    <w:name w:val="文档结构图 Char"/>
    <w:link w:val="2"/>
    <w:autoRedefine/>
    <w:qFormat/>
    <w:uiPriority w:val="0"/>
    <w:rPr>
      <w:rFonts w:ascii="宋体"/>
      <w:kern w:val="2"/>
      <w:sz w:val="18"/>
      <w:szCs w:val="18"/>
    </w:rPr>
  </w:style>
  <w:style w:type="character" w:customStyle="1" w:styleId="17">
    <w:name w:val="正文文本缩进 Char"/>
    <w:link w:val="3"/>
    <w:autoRedefine/>
    <w:qFormat/>
    <w:uiPriority w:val="0"/>
    <w:rPr>
      <w:rFonts w:ascii="宋体"/>
      <w:kern w:val="2"/>
      <w:sz w:val="21"/>
    </w:rPr>
  </w:style>
  <w:style w:type="character" w:customStyle="1" w:styleId="18">
    <w:name w:val="纯文本 Char"/>
    <w:link w:val="4"/>
    <w:autoRedefine/>
    <w:qFormat/>
    <w:uiPriority w:val="0"/>
    <w:rPr>
      <w:rFonts w:ascii="宋体" w:hAnsi="Courier New" w:cs="Courier New"/>
      <w:kern w:val="2"/>
      <w:sz w:val="21"/>
      <w:szCs w:val="21"/>
    </w:rPr>
  </w:style>
  <w:style w:type="character" w:customStyle="1" w:styleId="19">
    <w:name w:val="批注框文本 Char"/>
    <w:link w:val="6"/>
    <w:autoRedefine/>
    <w:qFormat/>
    <w:uiPriority w:val="0"/>
    <w:rPr>
      <w:kern w:val="2"/>
      <w:sz w:val="18"/>
      <w:szCs w:val="18"/>
    </w:rPr>
  </w:style>
  <w:style w:type="character" w:customStyle="1" w:styleId="20">
    <w:name w:val="页眉 Char"/>
    <w:link w:val="8"/>
    <w:autoRedefine/>
    <w:qFormat/>
    <w:uiPriority w:val="0"/>
    <w:rPr>
      <w:rFonts w:eastAsia="宋体"/>
      <w:kern w:val="2"/>
      <w:sz w:val="18"/>
      <w:szCs w:val="18"/>
      <w:lang w:val="en-US" w:eastAsia="zh-CN" w:bidi="ar-SA"/>
    </w:rPr>
  </w:style>
  <w:style w:type="character" w:customStyle="1" w:styleId="21">
    <w:name w:val="line181"/>
    <w:autoRedefine/>
    <w:qFormat/>
    <w:uiPriority w:val="0"/>
  </w:style>
  <w:style w:type="paragraph" w:customStyle="1" w:styleId="22">
    <w:name w:val="_Style 8"/>
    <w:basedOn w:val="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3602</Words>
  <Characters>248</Characters>
  <Lines>2</Lines>
  <Paragraphs>7</Paragraphs>
  <TotalTime>0</TotalTime>
  <ScaleCrop>false</ScaleCrop>
  <LinksUpToDate>false</LinksUpToDate>
  <CharactersWithSpaces>3843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2022-01-20T06:09:00Z</cp:lastPrinted>
  <dcterms:modified xsi:type="dcterms:W3CDTF">2024-01-23T11:57:08Z</dcterms:modified>
  <dc:title>扬州市2016年事业单位公开招考工作问答</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F6E412E9AC244080B6752BCE93F52D0E_13</vt:lpwstr>
  </property>
</Properties>
</file>