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10223526"/>
    <w:rsid w:val="7C21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2022-05-05T10:05:05Z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D325BBBAA3FF40B08F95B34DC9DBB8CE</vt:lpwstr>
  </property>
</Properties>
</file>