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2116"/>
        <w:gridCol w:w="11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jc w:val="center"/>
        </w:trPr>
        <w:tc>
          <w:tcPr>
            <w:tcW w:w="13969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4"/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  <w:r>
              <w:rPr>
                <w:rStyle w:val="4"/>
                <w:rFonts w:hint="eastAsia" w:ascii="仿宋" w:hAnsi="仿宋" w:eastAsia="仿宋"/>
                <w:sz w:val="30"/>
                <w:szCs w:val="30"/>
                <w:lang w:val="en-US" w:eastAsia="zh-CN"/>
              </w:rPr>
              <w:t>附件4：</w:t>
            </w:r>
          </w:p>
          <w:p>
            <w:pPr>
              <w:jc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方正小标宋_GBK" w:hAnsi="方正小标宋_GBK" w:eastAsia="方正小标宋_GBK" w:cs="方正小标宋_GBK"/>
                <w:kern w:val="2"/>
                <w:sz w:val="36"/>
                <w:szCs w:val="36"/>
                <w:lang w:val="en-US" w:eastAsia="zh-CN" w:bidi="ar-SA"/>
              </w:rPr>
              <w:t>2022年姜堰区部分高中校园公开招聘紧缺学科教师专业参考目录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专业大类</w:t>
            </w:r>
          </w:p>
        </w:tc>
        <w:tc>
          <w:tcPr>
            <w:tcW w:w="1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相近相关专业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中文类</w:t>
            </w:r>
          </w:p>
        </w:tc>
        <w:tc>
          <w:tcPr>
            <w:tcW w:w="1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汉语言文学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汉语言、汉语国际教育、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语言学及应用语言学、汉语言文字学、中国古典文献学、中国古代文学、中国现当代文学、学科教学（语文）、课程与教学论（语文）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数学类</w:t>
            </w:r>
          </w:p>
        </w:tc>
        <w:tc>
          <w:tcPr>
            <w:tcW w:w="1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数学与应用数学、信息与计算科学、数理基础科学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英语类</w:t>
            </w:r>
          </w:p>
        </w:tc>
        <w:tc>
          <w:tcPr>
            <w:tcW w:w="1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英语、商务英语、英语语言文学、学科教学（英语）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物理类</w:t>
            </w:r>
          </w:p>
        </w:tc>
        <w:tc>
          <w:tcPr>
            <w:tcW w:w="1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物理学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应用物理学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核物理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声学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理论物理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粒子物理与原子核物理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原子与分子物理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等离子体物理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凝聚态物理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声学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光学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 xml:space="preserve">无线电物理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化学类</w:t>
            </w:r>
          </w:p>
        </w:tc>
        <w:tc>
          <w:tcPr>
            <w:tcW w:w="1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化学、应用化学、化学生物学、分子科学与工程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生物类</w:t>
            </w:r>
          </w:p>
        </w:tc>
        <w:tc>
          <w:tcPr>
            <w:tcW w:w="1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生物科学、生物技术、生物信息学、生态学、植物学、动物学、生理学、微生物学、遗传学、细胞生物学、生态学、学科教学（生物）、课程与教学论（生物）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政治类</w:t>
            </w:r>
          </w:p>
        </w:tc>
        <w:tc>
          <w:tcPr>
            <w:tcW w:w="1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政治学与行政学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国际政治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外交学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思想政治教育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国际政治经济学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国际事务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政治学理论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中外政治制度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科学社会主义与国际共产主义运动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中共党史（含：党的学说与党的建设）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国际政治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国际关系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外交学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历史类</w:t>
            </w:r>
          </w:p>
        </w:tc>
        <w:tc>
          <w:tcPr>
            <w:tcW w:w="1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历史学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世界史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考古学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文物与博物馆学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史学理论及史学史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考古学及博物馆学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历史地理学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历史文献学（含∶敦煌学、古文字学）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专门史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中国古代史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 xml:space="preserve"> 中国近现代史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世界史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地理类</w:t>
            </w:r>
          </w:p>
        </w:tc>
        <w:tc>
          <w:tcPr>
            <w:tcW w:w="1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地理科学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自然地理与资源环境、人文地理与城乡规划、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自然地理学、人文地理学、地图学与地理信息系统、环境地理学、学科教学（地理）、课程与教学论（地理）</w:t>
            </w:r>
          </w:p>
        </w:tc>
      </w:tr>
    </w:tbl>
    <w:p>
      <w:pPr>
        <w:jc w:val="left"/>
        <w:rPr>
          <w:rStyle w:val="4"/>
          <w:rFonts w:ascii="仿宋" w:hAnsi="仿宋" w:eastAsia="仿宋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F18A7"/>
    <w:rsid w:val="284F18A7"/>
    <w:rsid w:val="3C591839"/>
    <w:rsid w:val="3E9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2021-11-02T02:24:00Z</dcterms:created>
  <dc:creator>Mac</dc:creator>
  <cp:lastModifiedBy>梦之蓝</cp:lastModifiedBy>
  <dcterms:modified xsi:type="dcterms:W3CDTF">2021-11-02T06:38:52Z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F28CC5BE116649CC8FF842FE9B73165F</vt:lpwstr>
  </property>
</Properties>
</file>